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Standard"/>
        <w:jc w:val="left"/>
        <w:rPr/>
      </w:pPr>
      <w:r>
        <mc:AlternateContent>
          <mc:Choice Requires="wps">
            <w:drawing>
              <wp:anchor behindDoc="0" distT="0" distB="0" distL="0" distR="150" simplePos="0" locked="0" layoutInCell="0" allowOverlap="1" relativeHeight="2" wp14:anchorId="3E2A210E">
                <wp:simplePos x="0" y="0"/>
                <wp:positionH relativeFrom="column">
                  <wp:posOffset>43815</wp:posOffset>
                </wp:positionH>
                <wp:positionV relativeFrom="paragraph">
                  <wp:posOffset>25400</wp:posOffset>
                </wp:positionV>
                <wp:extent cx="1104265" cy="224155"/>
                <wp:effectExtent l="0" t="0" r="3660" b="792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760" cy="223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1" path="m0,0l-2147483645,0l-2147483645,-2147483646l0,-2147483646xe" stroked="f" o:allowincell="f" style="position:absolute;margin-left:3.45pt;margin-top:2pt;width:86.85pt;height:17.55pt;mso-wrap-style:none;v-text-anchor:middle" wp14:anchorId="3E2A210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color w:val="FF0000"/>
          <w:sz w:val="24"/>
          <w:szCs w:val="24"/>
        </w:rPr>
        <w:tab/>
      </w:r>
      <w:r>
        <w:rPr>
          <w:rFonts w:ascii="DejaVu Serif Condensed" w:hAnsi="DejaVu Serif Condensed"/>
          <w:i w:val="false"/>
          <w:sz w:val="28"/>
          <w:szCs w:val="28"/>
        </w:rPr>
        <w:t xml:space="preserve">                          </w:t>
      </w:r>
    </w:p>
    <w:p>
      <w:pPr>
        <w:pStyle w:val="Contenudetableau"/>
        <w:jc w:val="left"/>
        <w:rPr/>
      </w:pPr>
      <w:r>
        <w:rPr>
          <w:rFonts w:ascii="DejaVu Serif Condensed" w:hAnsi="DejaVu Serif Condensed"/>
          <w:b w:val="false"/>
          <w:bCs w:val="false"/>
          <w:i w:val="false"/>
          <w:sz w:val="28"/>
          <w:szCs w:val="28"/>
        </w:rPr>
        <w:t xml:space="preserve">                                     </w:t>
      </w:r>
      <w:r>
        <w:rPr>
          <w:rFonts w:ascii="DejaVu Serif Condensed" w:hAnsi="DejaVu Serif Condensed"/>
          <w:b w:val="false"/>
          <w:bCs w:val="false"/>
          <w:i w:val="false"/>
          <w:sz w:val="28"/>
          <w:szCs w:val="28"/>
          <w:u w:val="single"/>
        </w:rPr>
        <w:t xml:space="preserve">Budget prévisionnel </w:t>
      </w:r>
    </w:p>
    <w:p>
      <w:pPr>
        <w:pStyle w:val="Contenudetableau"/>
        <w:rPr/>
      </w:pPr>
      <w:r>
        <w:rPr>
          <w:rFonts w:ascii="DejaVu Serif Condensed" w:hAnsi="DejaVu Serif Condensed"/>
          <w:b w:val="false"/>
          <w:bCs w:val="false"/>
          <w:iCs/>
          <w:sz w:val="20"/>
          <w:szCs w:val="20"/>
        </w:rPr>
        <w:t>Année 202</w:t>
      </w:r>
      <w:bookmarkStart w:id="0" w:name="_GoBack"/>
      <w:bookmarkEnd w:id="0"/>
      <w:r>
        <w:rPr>
          <w:rFonts w:ascii="DejaVu Serif Condensed" w:hAnsi="DejaVu Serif Condensed"/>
          <w:b w:val="false"/>
          <w:bCs w:val="false"/>
          <w:iCs/>
          <w:sz w:val="20"/>
          <w:szCs w:val="20"/>
        </w:rPr>
        <w:t xml:space="preserve">3 ou exercice du </w:t>
      </w:r>
      <w:r>
        <w:rPr>
          <w:rFonts w:ascii="DejaVu Serif Condensed" w:hAnsi="DejaVu Serif Condensed"/>
          <w:b w:val="false"/>
          <w:bCs w:val="false"/>
          <w:iCs/>
          <w:sz w:val="20"/>
          <w:szCs w:val="20"/>
          <w:shd w:fill="CCCCFF" w:val="clear"/>
        </w:rPr>
        <w:t>……….</w:t>
      </w:r>
      <w:r>
        <w:rPr>
          <w:rFonts w:ascii="DejaVu Serif Condensed" w:hAnsi="DejaVu Serif Condensed"/>
          <w:b w:val="false"/>
          <w:bCs w:val="false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false"/>
          <w:bCs w:val="false"/>
          <w:iCs/>
          <w:sz w:val="20"/>
          <w:szCs w:val="20"/>
          <w:shd w:fill="CCCCFF" w:val="clear"/>
        </w:rPr>
        <w:t>…</w:t>
      </w:r>
    </w:p>
    <w:p>
      <w:pPr>
        <w:pStyle w:val="Contenudetableau"/>
        <w:rPr>
          <w:rFonts w:ascii="DejaVu Serif Condensed" w:hAnsi="DejaVu Serif Condensed"/>
          <w:b w:val="false"/>
          <w:b w:val="false"/>
          <w:bCs w:val="false"/>
          <w:iCs/>
          <w:color w:val="FF0000"/>
          <w:sz w:val="20"/>
          <w:szCs w:val="20"/>
          <w:u w:val="single"/>
        </w:rPr>
      </w:pPr>
      <w:r>
        <w:rPr>
          <w:rFonts w:ascii="DejaVu Serif Condensed" w:hAnsi="DejaVu Serif Condensed"/>
          <w:b w:val="false"/>
          <w:bCs w:val="false"/>
          <w:iCs/>
          <w:color w:val="FF0000"/>
          <w:sz w:val="20"/>
          <w:szCs w:val="20"/>
          <w:u w:val="single"/>
        </w:rPr>
      </w:r>
    </w:p>
    <w:p>
      <w:pPr>
        <w:pStyle w:val="Contenudetableau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Standard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tbl>
      <w:tblPr>
        <w:tblW w:w="10424" w:type="dxa"/>
        <w:jc w:val="left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075"/>
        <w:gridCol w:w="1135"/>
        <w:gridCol w:w="2"/>
        <w:gridCol w:w="4075"/>
        <w:gridCol w:w="1136"/>
      </w:tblGrid>
      <w:tr>
        <w:trPr/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sz w:val="20"/>
                <w:szCs w:val="20"/>
              </w:rPr>
            </w:pPr>
            <w:r>
              <w:rPr>
                <w:rFonts w:ascii="Liberation Sans" w:hAnsi="Liberation Sans"/>
                <w:i w:val="false"/>
                <w:sz w:val="20"/>
                <w:szCs w:val="20"/>
              </w:rPr>
              <w:t>CHARGES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sz w:val="20"/>
                <w:szCs w:val="20"/>
              </w:rPr>
            </w:pPr>
            <w:r>
              <w:rPr>
                <w:rFonts w:ascii="Liberation Sans" w:hAnsi="Liberation Sans"/>
                <w:i w:val="false"/>
                <w:sz w:val="20"/>
                <w:szCs w:val="20"/>
              </w:rPr>
              <w:t>Montant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sz w:val="20"/>
                <w:szCs w:val="20"/>
              </w:rPr>
            </w:pPr>
            <w:r>
              <w:rPr>
                <w:rFonts w:ascii="Liberation Sans" w:hAnsi="Liberation Sans"/>
                <w:i w:val="false"/>
                <w:sz w:val="20"/>
                <w:szCs w:val="20"/>
              </w:rPr>
              <w:t>PRODUITS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sz w:val="20"/>
                <w:szCs w:val="20"/>
              </w:rPr>
            </w:pPr>
            <w:r>
              <w:rPr>
                <w:rFonts w:ascii="Liberation Sans" w:hAnsi="Liberation Sans"/>
                <w:i w:val="false"/>
                <w:sz w:val="20"/>
                <w:szCs w:val="20"/>
              </w:rPr>
              <w:t>Montant</w:t>
            </w:r>
          </w:p>
        </w:tc>
      </w:tr>
      <w:tr>
        <w:trPr/>
        <w:tc>
          <w:tcPr>
            <w:tcW w:w="5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66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66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>
        <w:trPr>
          <w:trHeight w:val="482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Achats matières et fournitures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Autres fournitures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ncredenotedebasdepage"/>
                <w:rFonts w:ascii="Liberation Sans" w:hAnsi="Liberation Sans"/>
                <w:i w:val="false"/>
                <w:color w:val="000066"/>
                <w:sz w:val="16"/>
                <w:szCs w:val="16"/>
              </w:rPr>
              <w:footnoteReference w:id="2"/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482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Etat : préciser le(s) ministère(s), directions ou services déconcentrés sollicités cf 1ére page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Locations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  <w:t xml:space="preserve">       </w:t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Entretien et réparation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Assurance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Documentation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Conseil.s Régional(aux)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Formation professionnelle 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38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Rémunérations intermédiaires et honoraires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Conseil.s Départemental(aux)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38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Publicité, publications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Déplacements, missions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-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38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Services bancaires, autres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pacing w:val="-4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pacing w:val="-4"/>
                <w:sz w:val="14"/>
                <w:szCs w:val="14"/>
              </w:rPr>
              <w:t>Communes, communautés de communes ou d’agglomérations :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Impôts et taxes sur rémunération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  <w:highlight w:val="blue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  <w:highlight w:val="blue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Autres impôts et taxes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  <w:highlight w:val="blue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  <w:highlight w:val="blue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Organismes sociaux (Caf, etc. Détailler) 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Fonds européens (FSE, FEDER, etc)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Rémunération des personnels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L’agence de services et de paiement (emplois aidés)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38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Charges sociales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Autres établissements publics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b w:val="false"/>
                <w:bCs w:val="false"/>
                <w:i w:val="false"/>
                <w:color w:val="auto"/>
                <w:sz w:val="14"/>
                <w:szCs w:val="14"/>
              </w:rPr>
              <w:t>Autres charges de personnel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Aides privées (fondation)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  <w:t xml:space="preserve">      </w:t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756. Cotisations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      </w:t>
            </w:r>
          </w:p>
        </w:tc>
      </w:tr>
      <w:tr>
        <w:trPr>
          <w:trHeight w:val="261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758 Dons manuels - Mécénat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83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/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/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83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false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false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iCs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/>
                <w:sz w:val="16"/>
                <w:szCs w:val="16"/>
              </w:rPr>
            </w:r>
          </w:p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iCs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/>
                <w:sz w:val="16"/>
                <w:szCs w:val="16"/>
              </w:rPr>
              <w:t xml:space="preserve"> </w:t>
            </w:r>
            <w:r>
              <w:rPr>
                <w:rFonts w:ascii="Liberation Sans" w:hAnsi="Liberation Sans"/>
                <w:i w:val="false"/>
                <w:iCs/>
                <w:sz w:val="16"/>
                <w:szCs w:val="16"/>
              </w:rPr>
              <w:t>4820</w:t>
            </w:r>
          </w:p>
        </w:tc>
      </w:tr>
    </w:tbl>
    <w:p>
      <w:pPr>
        <w:pStyle w:val="Standard"/>
        <w:jc w:val="left"/>
        <w:rPr/>
      </w:pPr>
      <w:r>
        <w:rPr/>
        <mc:AlternateContent>
          <mc:Choice Requires="wps">
            <w:drawing>
              <wp:anchor behindDoc="0" distT="0" distB="225" distL="0" distR="0" simplePos="0" locked="0" layoutInCell="0" allowOverlap="1" relativeHeight="4" wp14:anchorId="2EDBB5B4">
                <wp:simplePos x="0" y="0"/>
                <wp:positionH relativeFrom="column">
                  <wp:posOffset>2272030</wp:posOffset>
                </wp:positionH>
                <wp:positionV relativeFrom="paragraph">
                  <wp:posOffset>6091555</wp:posOffset>
                </wp:positionV>
                <wp:extent cx="1330325" cy="214630"/>
                <wp:effectExtent l="0" t="0" r="6540" b="16920"/>
                <wp:wrapNone/>
                <wp:docPr id="3" name="Form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840" cy="213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21" path="m0,0l-2147483645,0l-2147483645,-2147483646l0,-2147483646xe" stroked="f" o:allowincell="f" style="position:absolute;margin-left:178.9pt;margin-top:479.65pt;width:104.65pt;height:16.8pt;mso-wrap-style:none;v-text-anchor:middle" wp14:anchorId="2EDBB5B4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footerReference w:type="default" r:id="rId2"/>
      <w:footnotePr>
        <w:numFmt w:val="decimal"/>
      </w:footnotePr>
      <w:type w:val="nextPage"/>
      <w:pgSz w:w="11906" w:h="16838"/>
      <w:pgMar w:left="720" w:right="720" w:gutter="0" w:header="0" w:top="567" w:footer="720" w:bottom="777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ejaVu Serif Condens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right"/>
      <w:rPr>
        <w:rFonts w:ascii="DejaVu Serif Condensed" w:hAnsi="DejaVu Serif Condensed"/>
        <w:i w:val="false"/>
        <w:i w:val="false"/>
        <w:color w:val="000000"/>
        <w:sz w:val="16"/>
        <w:szCs w:val="16"/>
      </w:rPr>
    </w:pPr>
    <w:r>
      <w:rPr>
        <w:rFonts w:ascii="DejaVu Serif Condensed" w:hAnsi="DejaVu Serif Condensed"/>
        <w:i w:val="false"/>
        <w:color w:val="000000"/>
        <w:sz w:val="16"/>
        <w:szCs w:val="16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widowControl w:val="false"/>
        <w:rPr/>
      </w:pPr>
      <w:r>
        <w:rPr>
          <w:rStyle w:val="Caractresdenotedebasdepage"/>
        </w:rPr>
        <w:footnoteRef/>
      </w: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qFormat/>
    <w:rPr>
      <w:color w:val="000080"/>
      <w:u w:val="single"/>
    </w:rPr>
  </w:style>
  <w:style w:type="character" w:styleId="Caractresdenumrotation" w:customStyle="1">
    <w:name w:val="Caractères de numérotation"/>
    <w:qFormat/>
    <w:rPr/>
  </w:style>
  <w:style w:type="character" w:styleId="LienInternetvisit" w:customStyle="1">
    <w:name w:val="Lien Internet visité"/>
    <w:qFormat/>
    <w:rPr>
      <w:color w:val="800000"/>
      <w:u w:val="single"/>
    </w:rPr>
  </w:style>
  <w:style w:type="character" w:styleId="Caractresdenotedebasdepage" w:customStyle="1">
    <w:name w:val="Caractères de note de bas de page"/>
    <w:qFormat/>
    <w:rPr/>
  </w:style>
  <w:style w:type="character" w:styleId="Ancredenotedebasdepage" w:customStyle="1">
    <w:name w:val="Ancre de note de bas de page"/>
    <w:rPr>
      <w:vertAlign w:val="superscript"/>
    </w:rPr>
  </w:style>
  <w:style w:type="character" w:styleId="Puces" w:customStyle="1">
    <w:name w:val="Puces"/>
    <w:qFormat/>
    <w:rPr>
      <w:rFonts w:ascii="OpenSymbol" w:hAnsi="OpenSymbol" w:eastAsia="OpenSymbol" w:cs="OpenSymbol"/>
      <w:sz w:val="20"/>
      <w:szCs w:val="20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styleId="Gd" w:customStyle="1">
    <w:name w:val="gd"/>
    <w:basedOn w:val="DefaultParagraphFont"/>
    <w:qFormat/>
    <w:rsid w:val="001b4068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076f1"/>
    <w:rPr>
      <w:rFonts w:ascii="Segoe UI" w:hAnsi="Segoe UI"/>
      <w:sz w:val="18"/>
      <w:szCs w:val="16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d3485a"/>
    <w:rPr>
      <w:rFonts w:ascii="Arial" w:hAnsi="Arial" w:eastAsia="Arial" w:cs="Arial"/>
      <w:b/>
      <w:bCs/>
      <w:i/>
      <w:color w:val="000080"/>
      <w:spacing w:val="-2"/>
      <w:sz w:val="56"/>
      <w:szCs w:val="56"/>
    </w:rPr>
  </w:style>
  <w:style w:type="character" w:styleId="EntteCar" w:customStyle="1">
    <w:name w:val="En-tête Car"/>
    <w:basedOn w:val="DefaultParagraphFont"/>
    <w:uiPriority w:val="99"/>
    <w:qFormat/>
    <w:rsid w:val="00ea61ce"/>
    <w:rPr>
      <w:rFonts w:ascii="Arial" w:hAnsi="Arial" w:eastAsia="Arial" w:cs="Arial"/>
      <w:b/>
      <w:bCs/>
      <w:i/>
      <w:color w:val="000080"/>
      <w:spacing w:val="-2"/>
      <w:sz w:val="56"/>
      <w:szCs w:val="56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4f723b"/>
    <w:rPr>
      <w:sz w:val="20"/>
      <w:szCs w:val="18"/>
    </w:rPr>
  </w:style>
  <w:style w:type="character" w:styleId="Ancredenotedefin" w:customStyle="1">
    <w:name w:val="Ancre de note de fin"/>
    <w:rPr>
      <w:vertAlign w:val="superscript"/>
    </w:rPr>
  </w:style>
  <w:style w:type="character" w:styleId="Caractresdenotedefin" w:customStyle="1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Normal"/>
    <w:pPr>
      <w:widowControl w:val="false"/>
      <w:bidi w:val="0"/>
      <w:jc w:val="left"/>
    </w:pPr>
    <w:rPr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widowControl w:val="false"/>
      <w:suppressLineNumbers/>
      <w:bidi w:val="0"/>
      <w:jc w:val="left"/>
    </w:pPr>
    <w:rPr>
      <w:sz w:val="24"/>
    </w:rPr>
  </w:style>
  <w:style w:type="paragraph" w:styleId="Titre1" w:customStyle="1">
    <w:name w:val="Titre1"/>
    <w:next w:val="Textbody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kern w:val="2"/>
      <w:sz w:val="28"/>
      <w:szCs w:val="28"/>
      <w:lang w:val="fr-FR" w:eastAsia="zh-CN" w:bidi="hi-IN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Mangal"/>
      <w:iCs/>
      <w:color w:val="auto"/>
      <w:kern w:val="2"/>
      <w:sz w:val="24"/>
      <w:szCs w:val="24"/>
      <w:lang w:val="fr-F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Arial" w:cs="Arial"/>
      <w:b/>
      <w:bCs/>
      <w:i/>
      <w:color w:val="000080"/>
      <w:spacing w:val="-2"/>
      <w:kern w:val="2"/>
      <w:sz w:val="56"/>
      <w:szCs w:val="56"/>
      <w:lang w:val="fr-F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Titreprincipal">
    <w:name w:val="Title"/>
    <w:basedOn w:val="Titre1"/>
    <w:next w:val="Textbody"/>
    <w:uiPriority w:val="10"/>
    <w:qFormat/>
    <w:pPr/>
    <w:rPr>
      <w:sz w:val="56"/>
      <w:szCs w:val="56"/>
    </w:rPr>
  </w:style>
  <w:style w:type="paragraph" w:styleId="Entte">
    <w:name w:val="Header"/>
    <w:basedOn w:val="Standard"/>
    <w:uiPriority w:val="99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Stylepardfaut2" w:customStyle="1">
    <w:name w:val="Style par défaut 2"/>
    <w:basedOn w:val="Standard"/>
    <w:qFormat/>
    <w:pPr/>
    <w:rPr/>
  </w:style>
  <w:style w:type="paragraph" w:styleId="Lignehorizontale" w:customStyle="1">
    <w:name w:val="Ligne horizontale"/>
    <w:basedOn w:val="Standard"/>
    <w:next w:val="Textbody"/>
    <w:qFormat/>
    <w:pPr>
      <w:suppressLineNumbers/>
      <w:spacing w:before="0" w:after="283"/>
    </w:pPr>
    <w:rPr>
      <w:sz w:val="12"/>
      <w:szCs w:val="12"/>
    </w:rPr>
  </w:style>
  <w:style w:type="paragraph" w:styleId="Footnote" w:customStyle="1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Titredetableau" w:customStyle="1">
    <w:name w:val="Titre de tableau"/>
    <w:basedOn w:val="Contenudetableau"/>
    <w:qFormat/>
    <w:pPr/>
    <w:rPr/>
  </w:style>
  <w:style w:type="paragraph" w:styleId="Contenudecadre" w:customStyle="1">
    <w:name w:val="Contenu de cadre"/>
    <w:basedOn w:val="Standard"/>
    <w:qFormat/>
    <w:pPr/>
    <w:rPr/>
  </w:style>
  <w:style w:type="paragraph" w:styleId="NormalWeb">
    <w:name w:val="Normal (Web)"/>
    <w:basedOn w:val="Normal"/>
    <w:uiPriority w:val="99"/>
    <w:unhideWhenUsed/>
    <w:qFormat/>
    <w:rsid w:val="00ac462c"/>
    <w:pPr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lang w:eastAsia="fr-FR" w:bidi="ar-SA"/>
    </w:rPr>
  </w:style>
  <w:style w:type="paragraph" w:styleId="ListBullet">
    <w:name w:val="List Bullet"/>
    <w:basedOn w:val="Normal"/>
    <w:uiPriority w:val="99"/>
    <w:unhideWhenUsed/>
    <w:qFormat/>
    <w:rsid w:val="00e72fad"/>
    <w:pPr>
      <w:spacing w:before="0" w:after="0"/>
      <w:contextualSpacing/>
    </w:pPr>
    <w:rPr>
      <w:szCs w:val="21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076f1"/>
    <w:pPr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8663d2"/>
    <w:pPr>
      <w:spacing w:before="0" w:after="0"/>
      <w:ind w:left="720" w:hanging="0"/>
      <w:contextualSpacing/>
    </w:pPr>
    <w:rPr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723b"/>
    <w:pPr/>
    <w:rPr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LibreOffice/7.2.7.2.M8$Windows_X86_64 LibreOffice_project/cf1bdbb7fdbe4cc2bde03370057fbbb79d316db5</Application>
  <AppVersion>15.0000</AppVersion>
  <DocSecurity>4</DocSecurity>
  <Pages>2</Pages>
  <Words>217</Words>
  <Characters>1432</Characters>
  <CharactersWithSpaces>1783</CharactersWithSpaces>
  <Paragraphs>61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2022-04-26T10:00:34Z</dcterms:created>
  <dc:creator/>
  <dc:description/>
  <dc:language>fr-FR</dc:language>
  <cp:lastModifiedBy/>
  <dcterms:modified xsi:type="dcterms:W3CDTF">2023-03-02T12:05:14Z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